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B91EA3" w:rsidRPr="00EA2DF1" w:rsidTr="0083481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муниципальрайоныныӊ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.Горькийис. ПУЙ ауылы, Баксаурамы,  3</w:t>
            </w: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8351A" w:rsidRDefault="0038351A">
      <w:pPr>
        <w:rPr>
          <w:sz w:val="28"/>
          <w:szCs w:val="28"/>
        </w:rPr>
      </w:pPr>
    </w:p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6847BE" w:rsidP="006847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B91EA3" w:rsidRPr="00EB5DB2" w:rsidRDefault="00B91EA3" w:rsidP="00514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847B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273" w:type="dxa"/>
          </w:tcPr>
          <w:p w:rsidR="00B91EA3" w:rsidRPr="00EB5DB2" w:rsidRDefault="006847BE" w:rsidP="006847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марта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9923" w:type="dxa"/>
            <w:gridSpan w:val="3"/>
          </w:tcPr>
          <w:p w:rsidR="006847BE" w:rsidRPr="006847BE" w:rsidRDefault="006847BE" w:rsidP="00684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47BE">
              <w:rPr>
                <w:rFonts w:ascii="Times New Roman" w:hAnsi="Times New Roman"/>
                <w:b/>
                <w:sz w:val="28"/>
                <w:szCs w:val="28"/>
              </w:rPr>
              <w:t>О создании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      </w:r>
          </w:p>
          <w:p w:rsidR="00B91EA3" w:rsidRPr="00623E0F" w:rsidRDefault="00B91EA3" w:rsidP="009E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7BE" w:rsidRDefault="006847BE" w:rsidP="006847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pStyle w:val="ac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приказом Федеральной службы государственной регистрации, кадастра и картографии (Росреестра) от 28.04.2021 № П/0179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</w:t>
      </w:r>
      <w:r w:rsidR="00ED2D95">
        <w:rPr>
          <w:sz w:val="28"/>
          <w:szCs w:val="28"/>
        </w:rPr>
        <w:t>недвижимости</w:t>
      </w:r>
      <w:r>
        <w:rPr>
          <w:sz w:val="28"/>
          <w:szCs w:val="28"/>
        </w:rPr>
        <w:t>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 п о с т а н о в л я ю:</w:t>
      </w: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Создать комиссию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(приложение  № 1).</w:t>
      </w: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официально обнародовать, разместив на </w:t>
      </w:r>
      <w:r w:rsidR="00ED2D95">
        <w:rPr>
          <w:rFonts w:ascii="Times New Roman" w:hAnsi="Times New Roman"/>
          <w:sz w:val="28"/>
          <w:szCs w:val="28"/>
        </w:rPr>
        <w:t>информационном</w:t>
      </w:r>
      <w:r>
        <w:rPr>
          <w:rFonts w:ascii="Times New Roman" w:hAnsi="Times New Roman"/>
          <w:sz w:val="28"/>
          <w:szCs w:val="28"/>
        </w:rPr>
        <w:t xml:space="preserve"> стенде </w:t>
      </w:r>
      <w:r w:rsidR="00ED2D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ED2D95">
        <w:rPr>
          <w:rFonts w:ascii="Times New Roman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Башкортостан.</w:t>
      </w:r>
    </w:p>
    <w:p w:rsidR="006847BE" w:rsidRDefault="006847BE" w:rsidP="006847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7BE" w:rsidRPr="00ED2D95" w:rsidRDefault="006847BE" w:rsidP="006847BE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D9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ED2D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2D95" w:rsidRPr="00ED2D9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2D95">
        <w:rPr>
          <w:rFonts w:ascii="Times New Roman" w:hAnsi="Times New Roman" w:cs="Times New Roman"/>
          <w:sz w:val="28"/>
          <w:szCs w:val="28"/>
        </w:rPr>
        <w:t xml:space="preserve">        Н.К. Красильникова</w:t>
      </w:r>
    </w:p>
    <w:p w:rsidR="006847BE" w:rsidRDefault="006847BE" w:rsidP="0068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7BE" w:rsidRDefault="006847BE" w:rsidP="006847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EB41A3" w:rsidP="006847BE">
      <w:pPr>
        <w:spacing w:after="0" w:line="240" w:lineRule="auto"/>
        <w:ind w:left="72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17.4pt;width:203.25pt;height:67.35pt;z-index:251660288;mso-width-percent:400;mso-width-percent:400;mso-width-relative:margin;mso-height-relative:margin" strokecolor="white [3212]">
            <v:textbox style="mso-next-textbox:#_x0000_s1027">
              <w:txbxContent>
                <w:p w:rsidR="006847BE" w:rsidRPr="006847BE" w:rsidRDefault="006847BE" w:rsidP="006847B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47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№1</w:t>
                  </w:r>
                </w:p>
                <w:p w:rsidR="006847BE" w:rsidRPr="006847BE" w:rsidRDefault="006847BE" w:rsidP="006847B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47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постановлению Администрации  сельского поселения Максим-Горьковский сельсовет МР Белебеевский район РБ</w:t>
                  </w:r>
                </w:p>
              </w:txbxContent>
            </v:textbox>
          </v:shape>
        </w:pict>
      </w:r>
      <w:r w:rsidR="006847BE">
        <w:rPr>
          <w:rFonts w:ascii="Times New Roman" w:hAnsi="Times New Roman"/>
          <w:sz w:val="28"/>
          <w:szCs w:val="28"/>
        </w:rPr>
        <w:t xml:space="preserve">   </w:t>
      </w:r>
      <w:r w:rsidR="006847BE">
        <w:rPr>
          <w:rFonts w:ascii="Times New Roman" w:hAnsi="Times New Roman"/>
          <w:sz w:val="28"/>
          <w:szCs w:val="28"/>
        </w:rPr>
        <w:tab/>
      </w:r>
      <w:r w:rsidR="006847BE">
        <w:rPr>
          <w:rFonts w:ascii="Times New Roman" w:hAnsi="Times New Roman"/>
          <w:sz w:val="28"/>
          <w:szCs w:val="28"/>
        </w:rPr>
        <w:tab/>
      </w:r>
      <w:r w:rsidR="006847BE">
        <w:rPr>
          <w:rFonts w:ascii="Times New Roman" w:hAnsi="Times New Roman"/>
          <w:sz w:val="28"/>
          <w:szCs w:val="28"/>
        </w:rPr>
        <w:tab/>
      </w:r>
    </w:p>
    <w:p w:rsidR="006847BE" w:rsidRDefault="006847BE" w:rsidP="006847BE">
      <w:pPr>
        <w:spacing w:after="0" w:line="240" w:lineRule="auto"/>
        <w:ind w:left="7229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ind w:left="7229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ind w:left="7229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6847BE" w:rsidRDefault="006847BE" w:rsidP="006847BE">
      <w:pPr>
        <w:pStyle w:val="2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 О С Т А В</w:t>
      </w:r>
    </w:p>
    <w:p w:rsidR="006847BE" w:rsidRDefault="006847BE" w:rsidP="0068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6847BE" w:rsidRDefault="006847BE" w:rsidP="00684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847BE" w:rsidRDefault="006847BE" w:rsidP="006847B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-  </w:t>
      </w:r>
      <w:r w:rsidR="00ED2D95">
        <w:rPr>
          <w:rFonts w:ascii="Times New Roman" w:hAnsi="Times New Roman"/>
          <w:sz w:val="28"/>
          <w:szCs w:val="28"/>
        </w:rPr>
        <w:t>Красильникова Надежда Кузьминична</w:t>
      </w:r>
      <w:r>
        <w:rPr>
          <w:rFonts w:ascii="Times New Roman" w:hAnsi="Times New Roman"/>
          <w:sz w:val="28"/>
          <w:szCs w:val="28"/>
        </w:rPr>
        <w:t xml:space="preserve">,                      </w:t>
      </w:r>
    </w:p>
    <w:p w:rsidR="006847BE" w:rsidRDefault="006847BE" w:rsidP="006847B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глава  </w:t>
      </w:r>
      <w:r w:rsidR="00ED2D95">
        <w:rPr>
          <w:rFonts w:ascii="Times New Roman" w:hAnsi="Times New Roman"/>
          <w:sz w:val="28"/>
          <w:szCs w:val="28"/>
        </w:rPr>
        <w:t>сельского поселения</w:t>
      </w:r>
    </w:p>
    <w:p w:rsidR="006847BE" w:rsidRDefault="006847BE" w:rsidP="006847B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- </w:t>
      </w:r>
      <w:r w:rsidR="00ED2D95">
        <w:rPr>
          <w:rFonts w:ascii="Times New Roman" w:hAnsi="Times New Roman"/>
          <w:sz w:val="28"/>
          <w:szCs w:val="28"/>
        </w:rPr>
        <w:t>Солохина Юлия Анатольевна</w:t>
      </w:r>
      <w:r>
        <w:rPr>
          <w:rFonts w:ascii="Times New Roman" w:hAnsi="Times New Roman"/>
          <w:sz w:val="28"/>
          <w:szCs w:val="28"/>
        </w:rPr>
        <w:t>,</w:t>
      </w:r>
    </w:p>
    <w:p w:rsidR="006847BE" w:rsidRDefault="006847BE" w:rsidP="006847B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D2D95"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47BE" w:rsidRDefault="006847BE" w:rsidP="006847B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- </w:t>
      </w:r>
      <w:r w:rsidR="00ED2D95">
        <w:rPr>
          <w:rFonts w:ascii="Times New Roman" w:hAnsi="Times New Roman"/>
          <w:sz w:val="28"/>
          <w:szCs w:val="28"/>
        </w:rPr>
        <w:t>Астахова Анна Владимировна</w:t>
      </w:r>
      <w:r>
        <w:rPr>
          <w:rFonts w:ascii="Times New Roman" w:hAnsi="Times New Roman"/>
          <w:sz w:val="28"/>
          <w:szCs w:val="28"/>
        </w:rPr>
        <w:t>,</w:t>
      </w:r>
    </w:p>
    <w:p w:rsidR="006847BE" w:rsidRDefault="006847BE" w:rsidP="006847B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D2D95">
        <w:rPr>
          <w:rFonts w:ascii="Times New Roman" w:hAnsi="Times New Roman"/>
          <w:sz w:val="28"/>
          <w:szCs w:val="28"/>
        </w:rPr>
        <w:t>специалист 1 категории</w:t>
      </w:r>
    </w:p>
    <w:p w:rsidR="00ED2D95" w:rsidRDefault="00ED2D95" w:rsidP="00ED2D9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- Чеганова Наталья Владимировна,</w:t>
      </w:r>
    </w:p>
    <w:p w:rsidR="00ED2D95" w:rsidRDefault="00ED2D95" w:rsidP="00ED2D9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специалист 1 категории</w:t>
      </w:r>
    </w:p>
    <w:p w:rsidR="00ED2D95" w:rsidRDefault="00ED2D95" w:rsidP="006847B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D95" w:rsidRDefault="00ED2D95" w:rsidP="006847B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BE" w:rsidRDefault="006847BE" w:rsidP="006847BE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1EA3" w:rsidRPr="001F433C" w:rsidRDefault="00B91EA3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51A" w:rsidRPr="00ED2D95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D95">
        <w:rPr>
          <w:rFonts w:ascii="Times New Roman" w:hAnsi="Times New Roman" w:cs="Times New Roman"/>
          <w:sz w:val="28"/>
          <w:szCs w:val="28"/>
        </w:rPr>
        <w:t>Глава сельского посел</w:t>
      </w:r>
      <w:r w:rsidR="00ED2D95">
        <w:rPr>
          <w:rFonts w:ascii="Times New Roman" w:hAnsi="Times New Roman" w:cs="Times New Roman"/>
          <w:sz w:val="28"/>
          <w:szCs w:val="28"/>
        </w:rPr>
        <w:t xml:space="preserve">ения                         </w:t>
      </w:r>
      <w:r w:rsidR="00ED2D95" w:rsidRPr="00ED2D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2D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1EA3" w:rsidRPr="00ED2D95">
        <w:rPr>
          <w:rFonts w:ascii="Times New Roman" w:hAnsi="Times New Roman" w:cs="Times New Roman"/>
          <w:sz w:val="28"/>
          <w:szCs w:val="28"/>
        </w:rPr>
        <w:t>Н.К. Красильникова</w:t>
      </w:r>
    </w:p>
    <w:sectPr w:rsidR="0038351A" w:rsidRPr="00ED2D95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A8" w:rsidRDefault="00196AA8" w:rsidP="008C3A4E">
      <w:pPr>
        <w:spacing w:after="0" w:line="240" w:lineRule="auto"/>
      </w:pPr>
      <w:r>
        <w:separator/>
      </w:r>
    </w:p>
  </w:endnote>
  <w:endnote w:type="continuationSeparator" w:id="1">
    <w:p w:rsidR="00196AA8" w:rsidRDefault="00196AA8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A8" w:rsidRDefault="00196AA8" w:rsidP="008C3A4E">
      <w:pPr>
        <w:spacing w:after="0" w:line="240" w:lineRule="auto"/>
      </w:pPr>
      <w:r>
        <w:separator/>
      </w:r>
    </w:p>
  </w:footnote>
  <w:footnote w:type="continuationSeparator" w:id="1">
    <w:p w:rsidR="00196AA8" w:rsidRDefault="00196AA8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7573D"/>
    <w:rsid w:val="001106C2"/>
    <w:rsid w:val="00196AA8"/>
    <w:rsid w:val="001E39A1"/>
    <w:rsid w:val="001F433C"/>
    <w:rsid w:val="00212DB4"/>
    <w:rsid w:val="002625E8"/>
    <w:rsid w:val="00264473"/>
    <w:rsid w:val="002754C8"/>
    <w:rsid w:val="0028273E"/>
    <w:rsid w:val="00294709"/>
    <w:rsid w:val="002A0A20"/>
    <w:rsid w:val="002E356F"/>
    <w:rsid w:val="002F67AD"/>
    <w:rsid w:val="003250A1"/>
    <w:rsid w:val="003457B9"/>
    <w:rsid w:val="0038351A"/>
    <w:rsid w:val="004072EC"/>
    <w:rsid w:val="00514A27"/>
    <w:rsid w:val="0052296C"/>
    <w:rsid w:val="00541366"/>
    <w:rsid w:val="005B0B79"/>
    <w:rsid w:val="005D3DD6"/>
    <w:rsid w:val="00602421"/>
    <w:rsid w:val="00673E89"/>
    <w:rsid w:val="006847BE"/>
    <w:rsid w:val="00685F5F"/>
    <w:rsid w:val="006F47DE"/>
    <w:rsid w:val="00761D0C"/>
    <w:rsid w:val="007D45AD"/>
    <w:rsid w:val="00817E08"/>
    <w:rsid w:val="008C3A4E"/>
    <w:rsid w:val="00963820"/>
    <w:rsid w:val="009A476A"/>
    <w:rsid w:val="009A60CC"/>
    <w:rsid w:val="009E1AB7"/>
    <w:rsid w:val="009E70FA"/>
    <w:rsid w:val="00A21958"/>
    <w:rsid w:val="00A57FAB"/>
    <w:rsid w:val="00A90AAA"/>
    <w:rsid w:val="00AA25D2"/>
    <w:rsid w:val="00AB1B94"/>
    <w:rsid w:val="00AC4024"/>
    <w:rsid w:val="00B0255D"/>
    <w:rsid w:val="00B51C7B"/>
    <w:rsid w:val="00B8283A"/>
    <w:rsid w:val="00B91EA3"/>
    <w:rsid w:val="00C2796C"/>
    <w:rsid w:val="00C408B9"/>
    <w:rsid w:val="00C74AD9"/>
    <w:rsid w:val="00D10507"/>
    <w:rsid w:val="00D4369E"/>
    <w:rsid w:val="00D80705"/>
    <w:rsid w:val="00DC4283"/>
    <w:rsid w:val="00E20654"/>
    <w:rsid w:val="00E6633F"/>
    <w:rsid w:val="00E66D8C"/>
    <w:rsid w:val="00EB41A3"/>
    <w:rsid w:val="00EC32C1"/>
    <w:rsid w:val="00ED2D95"/>
    <w:rsid w:val="00F04E7D"/>
    <w:rsid w:val="00FB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68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11</cp:revision>
  <cp:lastPrinted>2022-03-04T04:39:00Z</cp:lastPrinted>
  <dcterms:created xsi:type="dcterms:W3CDTF">2021-11-12T10:29:00Z</dcterms:created>
  <dcterms:modified xsi:type="dcterms:W3CDTF">2022-03-04T04:41:00Z</dcterms:modified>
</cp:coreProperties>
</file>